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65" w:rsidRDefault="004C4E65" w:rsidP="004C4E6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Tolerância do Profeta em Relação às Outras Religiões (parte 1 de 2): Para Cada Um Sua Própria Religião</w:t>
      </w:r>
    </w:p>
    <w:p w:rsidR="00B97D0D" w:rsidRDefault="004C4E65" w:rsidP="004C4E6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800225"/>
            <wp:effectExtent l="19050" t="0" r="0" b="0"/>
            <wp:docPr id="109" name="Picture 109" descr="http://www.islamreligion.com/articles_pt/images/The_Tolerance_of_the_Prophet_towards_Other_Religions_(part_1_of_2)_-_To_Each_Their_Own_Religion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islamreligion.com/articles_pt/images/The_Tolerance_of_the_Prophet_towards_Other_Religions_(part_1_of_2)_-_To_Each_Their_Own_Religion_P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65" w:rsidRDefault="004C4E65" w:rsidP="004C4E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lidar do Profeta, que a misericórdia e bênçãos de Deus estejam sobre ele, com outras religiões pode ser mais bem descrito no versículo do Alcorão: “Vós tendes vossa religião e eu tenho a minha.”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Península Árabe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o tempo do Profeta era uma região na qual várias crenças estavam presentes.  </w:t>
      </w:r>
      <w:proofErr w:type="gramStart"/>
      <w:r>
        <w:rPr>
          <w:color w:val="000000"/>
          <w:sz w:val="26"/>
          <w:szCs w:val="26"/>
        </w:rPr>
        <w:t>Existiam cristãos, judeus, zoroastrinos, politeístas e outros não afiliados a qualquer religião.</w:t>
      </w:r>
      <w:proofErr w:type="gramEnd"/>
      <w:r>
        <w:rPr>
          <w:color w:val="000000"/>
          <w:sz w:val="26"/>
          <w:szCs w:val="26"/>
        </w:rPr>
        <w:t>  Quando se examina a vida do Profeta, podem-se extrair muitos exemplos para retratar o alto nível de tolerância mostrado com pessoas de outras crenças.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entender e julgar essa tolerância deve-se olhar para o período no qual o Islã era um estado formal, com leis específicas estabelecidas pelo Profeta de acordo com os ensinamentos da religião.</w:t>
      </w:r>
      <w:proofErr w:type="gramEnd"/>
      <w:r>
        <w:rPr>
          <w:color w:val="000000"/>
          <w:sz w:val="26"/>
          <w:szCs w:val="26"/>
        </w:rPr>
        <w:t xml:space="preserve">  Mesmo que se possam observar muitos exemplos de tolerância mostrados pelo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nos treze anos de sua estada em Meca, pode-se incorretamente pensar que foi somente para tentar elevar o perfil dos muçulmanos e o status social do Islã em geral.  Por essa razão, a discussão será limitada ao período que começa com a migração do Profeta para Medina, e especificamente a partir do estabelecimento da constituição.</w:t>
      </w:r>
    </w:p>
    <w:p w:rsidR="004C4E65" w:rsidRDefault="004C4E65" w:rsidP="004C4E6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Sahifah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melhor exemplo de tolerância mostrado pelo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com outras religiões pode ser a própria constituição, chamada a ‘Sahifah’ por historiadores antigos.</w:t>
      </w:r>
      <w:bookmarkStart w:id="0" w:name="_ftnref1408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"http://www.islamreligion.com/pt/articles/207/" \l "_ftn14082" \o " Madinan Society at the Time of the Prophet (Sociedade Medinense no Tempo do Profeta, em tradução livre), Akram Diya al-Umari, International Islamic Publishing House, 1995."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Quando o Profeta migrou para Medina, seu papel como um mero líder religioso terminou; ele era agora um líder político de um estado, governado pelos preceitos do Islã, que demandava que leis claras de governo fossem estabelecidas para assegurar harmonia e estabilidade em uma sociedade que tinha sido perturbada por décadas de guerra, leis que pudessem assegurar a coexistência pacífica de muçulmanos, judeus, cristãos e politeístas.   Devido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isso, o Profeta estabeleceu uma ‘constituição’ que detalhava as responsabilidades de todas as partes residentes em Medina, suas obrigações </w:t>
      </w:r>
      <w:r>
        <w:rPr>
          <w:color w:val="000000"/>
          <w:sz w:val="26"/>
          <w:szCs w:val="26"/>
        </w:rPr>
        <w:lastRenderedPageBreak/>
        <w:t xml:space="preserve">mútuas e certas restrições sobre cada uma delas.  </w:t>
      </w:r>
      <w:proofErr w:type="gramStart"/>
      <w:r>
        <w:rPr>
          <w:color w:val="000000"/>
          <w:sz w:val="26"/>
          <w:szCs w:val="26"/>
        </w:rPr>
        <w:t>Todas as partes tinham que obedecer ao que estava mencionado nessa constituição e qualquer violação de seus artigos era considerado um ato de traição.</w:t>
      </w:r>
      <w:proofErr w:type="gramEnd"/>
    </w:p>
    <w:p w:rsidR="004C4E65" w:rsidRDefault="004C4E65" w:rsidP="004C4E6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Uma Nação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primeiro artigo da constituição era que todos os habitantes de Medina, os muçulmanos e também aqueles que tinham entrado no pacto entre os judeus, cristãos e idólatras, eram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“uma nação para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exclusão de todas as outras.”</w:t>
      </w:r>
      <w:proofErr w:type="gramStart"/>
      <w:r>
        <w:rPr>
          <w:color w:val="000000"/>
          <w:sz w:val="26"/>
          <w:szCs w:val="26"/>
        </w:rPr>
        <w:t>Todos eram considerados membros e cidadãos da sociedade de Medina, independentemente de religião, raça ou ancestralidade.</w:t>
      </w:r>
      <w:proofErr w:type="gramEnd"/>
      <w:r>
        <w:rPr>
          <w:color w:val="000000"/>
          <w:sz w:val="26"/>
          <w:szCs w:val="26"/>
        </w:rPr>
        <w:t xml:space="preserve">  Pessoas de todas as crenças eram protegidas do perigo tanto quanto os muçulmanos,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afirmado em outro artigo: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“Os judeus que nos seguem têm direito a ajuda e equidade. </w:t>
      </w:r>
      <w:proofErr w:type="gramStart"/>
      <w:r>
        <w:rPr>
          <w:b/>
          <w:bCs/>
          <w:color w:val="000000"/>
          <w:sz w:val="26"/>
          <w:szCs w:val="26"/>
        </w:rPr>
        <w:t>Não devem ser prejudicados e seus inimigos não devem receber ajuda.”</w:t>
      </w:r>
      <w:r>
        <w:rPr>
          <w:color w:val="000000"/>
          <w:sz w:val="26"/>
          <w:szCs w:val="26"/>
        </w:rPr>
        <w:t>Anteriormente cada tribo tinha suas alianças e inimigos dentro e fora de Medina.</w:t>
      </w:r>
      <w:proofErr w:type="gramEnd"/>
      <w:r>
        <w:rPr>
          <w:color w:val="000000"/>
          <w:sz w:val="26"/>
          <w:szCs w:val="26"/>
        </w:rPr>
        <w:t xml:space="preserve">  O Profeta reuniu essas diferentes tribos sob um sistema de governo que manteve os pactos de aliança existentes entre essas tribos individuais.  Todas as tribos tinham que agir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sem consideração com essas alianças individuais.  </w:t>
      </w:r>
      <w:proofErr w:type="gramStart"/>
      <w:r>
        <w:rPr>
          <w:color w:val="000000"/>
          <w:sz w:val="26"/>
          <w:szCs w:val="26"/>
        </w:rPr>
        <w:t>Qualquer ataque a qualquer religião ou tribo era considerado um ataque ao estado e aos muçulmanos.</w:t>
      </w:r>
      <w:proofErr w:type="gramEnd"/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 vidas dos praticantes de outras religiões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 muçulmana também recebia status de proteção.  O Profeta disse:</w:t>
      </w:r>
    </w:p>
    <w:p w:rsidR="004C4E65" w:rsidRDefault="004C4E65" w:rsidP="004C4E6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“Quem matar uma pessoa que tem um tratado com os muçulmanos nunca sentirá a fragrância do Paraíso.”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vez que o controle estava com os muçulmanos,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fez alertas estritos contra qualquer mau tratamento de pessoas de outras crenças.  Ele disse:</w:t>
      </w:r>
    </w:p>
    <w:p w:rsidR="004C4E65" w:rsidRDefault="004C4E65" w:rsidP="004C4E6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“Cuidado!</w:t>
      </w:r>
      <w:proofErr w:type="gramEnd"/>
      <w:r>
        <w:rPr>
          <w:b/>
          <w:bCs/>
          <w:color w:val="000000"/>
          <w:sz w:val="26"/>
          <w:szCs w:val="26"/>
        </w:rPr>
        <w:t xml:space="preserve"> Quem quer que seja cruel e duro com uma minoria não-muçulmana ou restrinja seus direitos ou os sobrecarregue com mais do que podem suportar, ou tome qualquer coisa deles contra sua vontade, eu (Profeta Muhammad) acusarei no Dia do Juízo.” (</w:t>
      </w:r>
      <w:r>
        <w:rPr>
          <w:b/>
          <w:bCs/>
          <w:i/>
          <w:iCs/>
          <w:color w:val="000000"/>
          <w:sz w:val="26"/>
          <w:szCs w:val="26"/>
        </w:rPr>
        <w:t>Abu Dawud</w:t>
      </w:r>
      <w:r>
        <w:rPr>
          <w:b/>
          <w:bCs/>
          <w:color w:val="000000"/>
          <w:sz w:val="26"/>
          <w:szCs w:val="26"/>
        </w:rPr>
        <w:t>)</w:t>
      </w:r>
    </w:p>
    <w:p w:rsidR="004C4E65" w:rsidRDefault="004C4E65" w:rsidP="004C4E6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Para Cada Um Sua Própria Religião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outro artigo, afirma: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“os judeus têm sua religião e os muçulmanos têm a deles.”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Nisso está claro que a tolerância era a </w:t>
      </w:r>
      <w:proofErr w:type="gramStart"/>
      <w:r>
        <w:rPr>
          <w:color w:val="000000"/>
          <w:sz w:val="26"/>
          <w:szCs w:val="26"/>
        </w:rPr>
        <w:t>norma</w:t>
      </w:r>
      <w:proofErr w:type="gramEnd"/>
      <w:r>
        <w:rPr>
          <w:color w:val="000000"/>
          <w:sz w:val="26"/>
          <w:szCs w:val="26"/>
        </w:rPr>
        <w:t xml:space="preserve"> e que embora todos fossem membros de uma sociedade, cada um tinha sua religião separada e que não podia ser violada.  Era permitida a prática de suas crenças livremente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quaisquer limitações, e atos de provocação não seriam tolerados.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Existem muitos outros artigos dessa constituição que podem ser discutidos,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enfatizamos o artigo que afirma: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“Se houver qualquer disputa ou controvérsia que possa causar problemas, ela deve ser apresentada a Deus e Seu Mensageiro.”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Essa cláusula estabelecia que todos os habitantes do estado deviam reconhecer um nível mais alto de autoridade e que naquelas </w:t>
      </w:r>
      <w:r>
        <w:rPr>
          <w:color w:val="000000"/>
          <w:sz w:val="26"/>
          <w:szCs w:val="26"/>
        </w:rPr>
        <w:lastRenderedPageBreak/>
        <w:t>questões que envolvessem várias tribos e religiões a justiça não poderia ser feita por líderes individuais; ao contrário, devia ser julgada pelo próprio líder do estado ou seus representantes designados.   </w:t>
      </w:r>
      <w:proofErr w:type="gramStart"/>
      <w:r>
        <w:rPr>
          <w:color w:val="000000"/>
          <w:sz w:val="26"/>
          <w:szCs w:val="26"/>
        </w:rPr>
        <w:t>Era permitido, entretanto, que tribos individuais que não eram muçulmanas se referissem às suas próprias escrituras religiosas e seus sábios em relação a seus próprios assuntos.</w:t>
      </w:r>
      <w:proofErr w:type="gramEnd"/>
      <w:r>
        <w:rPr>
          <w:color w:val="000000"/>
          <w:sz w:val="26"/>
          <w:szCs w:val="26"/>
        </w:rPr>
        <w:t xml:space="preserve">  Podiam, entretanto, se assim desejassem, pedir ao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que julgasse entre eles em suas questões.  Deus diz no Alcorão:</w:t>
      </w:r>
    </w:p>
    <w:p w:rsidR="004C4E65" w:rsidRDefault="004C4E65" w:rsidP="004C4E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“…Se se apresentarem a ti, julga-os ou aparta-te deles...” (Alcorão 5:42)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Vemos aqui que o Profeta permitiu que cada religião julgasse suas próprias questões de acordo com suas próprias escrituras, desde que não se opusesse aos artigos da constituição, um pacto que levou em consideração o benefício maior da coexistência pacífica da sociedade.</w:t>
      </w:r>
      <w:proofErr w:type="gramEnd"/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082"/>
    <w:p w:rsidR="004C4E65" w:rsidRDefault="004C4E65" w:rsidP="004C4E6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"http://www.islamreligion.com/pt/articles/207/" \l "_ftnref14082"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Madinan Society at the Time of the Prophet (Sociedade Medinense no Tempo do Profeta, em tradução livre)</w:t>
      </w:r>
      <w:r>
        <w:rPr>
          <w:color w:val="000000"/>
          <w:sz w:val="22"/>
          <w:szCs w:val="22"/>
        </w:rPr>
        <w:t>, Akram Diya al-Umari, International Islamic Publishing House, 1995.</w:t>
      </w:r>
    </w:p>
    <w:p w:rsidR="004C4E65" w:rsidRDefault="004C4E65" w:rsidP="004C4E6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Autonomia Religiosa e Política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Existem muitos outros exemplos durante a vida do Profeta, que a misericórdia e bênçãos de Deus estejam sobre ele, além da Sahifah que praticamente retrata a tolerância que o Islã demonstra com outras religiões.</w:t>
      </w:r>
    </w:p>
    <w:p w:rsidR="004C4E65" w:rsidRDefault="004C4E65" w:rsidP="004C4E6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Liberdade de Assembléia Religiosa e Autonomia Religiosa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Ao consentirem com a constituição os judeus tiveram liberdade completa de praticarem sua religião.</w:t>
      </w:r>
      <w:proofErr w:type="gramEnd"/>
      <w:r>
        <w:rPr>
          <w:color w:val="000000"/>
          <w:sz w:val="26"/>
          <w:szCs w:val="26"/>
        </w:rPr>
        <w:t>  Os judeus em Medina no tempo do Profeta tinham sua própria escola de aprendizado, chamada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Bait-ul-Midras</w:t>
      </w:r>
      <w:r>
        <w:rPr>
          <w:color w:val="000000"/>
          <w:sz w:val="26"/>
          <w:szCs w:val="26"/>
        </w:rPr>
        <w:t>, na qual recitavam a Torá, adoravam e se instruíam.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Profeta enfatizou em muitas cartas aos seus emissários que as instituições religiosas não deviam ser prejudicadas.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Aqui está uma carta endereçada ao seu emissário para o líder religioso de Santa Catarina no Monte Sinai, que buscou a proteção dos muçulmanos.</w:t>
      </w:r>
      <w:proofErr w:type="gramEnd"/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“Essa é uma mensagem de Muhammad ibn Abdullah,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uma aliança com aqueles que adotam o Cristianismo, próximos e distantes, que estamos com eles. Eu, os servos, os ajudantes e meus seguidores os defendem, porque os cristãos são meus cidadãos e, por Deus! </w:t>
      </w:r>
      <w:proofErr w:type="gramStart"/>
      <w:r>
        <w:rPr>
          <w:b/>
          <w:bCs/>
          <w:color w:val="000000"/>
          <w:sz w:val="26"/>
          <w:szCs w:val="26"/>
        </w:rPr>
        <w:t>Resisto a tudo que os desagrade.</w:t>
      </w:r>
      <w:proofErr w:type="gramEnd"/>
      <w:r>
        <w:rPr>
          <w:b/>
          <w:bCs/>
          <w:color w:val="000000"/>
          <w:sz w:val="26"/>
          <w:szCs w:val="26"/>
        </w:rPr>
        <w:t xml:space="preserve"> Não deve haver compulsão sobre eles. Seus juízes não devem ser removidos de seus postos, nem seus monges de seus monastérios. </w:t>
      </w:r>
      <w:proofErr w:type="gramStart"/>
      <w:r>
        <w:rPr>
          <w:b/>
          <w:bCs/>
          <w:color w:val="000000"/>
          <w:sz w:val="26"/>
          <w:szCs w:val="26"/>
        </w:rPr>
        <w:lastRenderedPageBreak/>
        <w:t>Ninguém deve destruir seu templo, danificá-lo ou levar nada para as casas dos muçulmanos.</w:t>
      </w:r>
      <w:proofErr w:type="gramEnd"/>
      <w:r>
        <w:rPr>
          <w:b/>
          <w:bCs/>
          <w:color w:val="000000"/>
          <w:sz w:val="26"/>
          <w:szCs w:val="26"/>
        </w:rPr>
        <w:t xml:space="preserve"> Quem fizer isso destruirá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aliança de Deus e desobedecerá a Seu Profeta. </w:t>
      </w:r>
      <w:proofErr w:type="gramStart"/>
      <w:r>
        <w:rPr>
          <w:b/>
          <w:bCs/>
          <w:color w:val="000000"/>
          <w:sz w:val="26"/>
          <w:szCs w:val="26"/>
        </w:rPr>
        <w:t>Verdadeiramente, eles são meus aliados e têm meu salvo conduto contra tudo que odeiam.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Ninguém deve forçá-los a viajar ou obrigá-los a lutar.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Os muçulmanos devem lutar por eles.</w:t>
      </w:r>
      <w:proofErr w:type="gramEnd"/>
      <w:r>
        <w:rPr>
          <w:b/>
          <w:bCs/>
          <w:color w:val="000000"/>
          <w:sz w:val="26"/>
          <w:szCs w:val="26"/>
        </w:rPr>
        <w:t xml:space="preserve"> Se uma cristã for casada com um muçulmano, isso não deve acontecer </w:t>
      </w:r>
      <w:proofErr w:type="gramStart"/>
      <w:r>
        <w:rPr>
          <w:b/>
          <w:bCs/>
          <w:color w:val="000000"/>
          <w:sz w:val="26"/>
          <w:szCs w:val="26"/>
        </w:rPr>
        <w:t>sem</w:t>
      </w:r>
      <w:proofErr w:type="gramEnd"/>
      <w:r>
        <w:rPr>
          <w:b/>
          <w:bCs/>
          <w:color w:val="000000"/>
          <w:sz w:val="26"/>
          <w:szCs w:val="26"/>
        </w:rPr>
        <w:t xml:space="preserve"> a aprovação dela. </w:t>
      </w:r>
      <w:proofErr w:type="gramStart"/>
      <w:r>
        <w:rPr>
          <w:b/>
          <w:bCs/>
          <w:color w:val="000000"/>
          <w:sz w:val="26"/>
          <w:szCs w:val="26"/>
        </w:rPr>
        <w:t>Ela não deve ser impedida de visitar sua igreja para orar.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Suas igrejas devem ser protegidas.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Não estão impedidos de consertá-las nem da santidade de suas alianças.</w:t>
      </w:r>
      <w:proofErr w:type="gramEnd"/>
      <w:r>
        <w:rPr>
          <w:b/>
          <w:bCs/>
          <w:color w:val="000000"/>
          <w:sz w:val="26"/>
          <w:szCs w:val="26"/>
        </w:rPr>
        <w:t xml:space="preserve"> Ninguém da nação (muçulmanos) deve desobedecer à aliança até o Último Dia (fim do mundo).”</w:t>
      </w:r>
      <w:bookmarkStart w:id="2" w:name="_ftnref1408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"http://www.islamreligion.com/pt/articles/208/" \l "_ftn14083" \o "\“Muslim and Non-Muslims, Face-to-Face\” (Muçulmanos e Não-Muçulmanos, Face a Face, em tradução livre), Ahmad Sakr.  Foundation for Islamic Knowledge, Lombard IL."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se pode ver, essa Carta consistia de várias cláusulas cobrindo todos os aspectos importantes de direitos humanos, incluindo tópicos com a proteção de minorias que viviam sob o governo islâmico, liberdade de adoração e movimento, liberdade para nomear seus próprios juízes e à manutenção de suas propriedades, isenção de serviço militar e o direito de proteção em caso de guerra.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outra ocasião, o Profeta recebeu uma delegação de sessenta cristãos da região de Najran, então uma parte do Iêmen, em sua mesquita.  </w:t>
      </w:r>
      <w:proofErr w:type="gramStart"/>
      <w:r>
        <w:rPr>
          <w:color w:val="000000"/>
          <w:sz w:val="26"/>
          <w:szCs w:val="26"/>
        </w:rPr>
        <w:t>Quando chegou o horário para oração, eles se voltaram para o oriente e oraram.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Profeta ordenou que não fossem incomodados.</w:t>
      </w:r>
      <w:proofErr w:type="gramEnd"/>
    </w:p>
    <w:p w:rsidR="004C4E65" w:rsidRDefault="004C4E65" w:rsidP="004C4E6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Política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existem exemplos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do Profeta nos quais ele cooperou com pessoas de outras crenças na arena política.  Ele selecionou um não-muçulmano, Amr-ibn Umaiyah-ad-Damri,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embaixador para ser enviado a Negus, o rei da Etiópia.</w:t>
      </w:r>
    </w:p>
    <w:p w:rsidR="004C4E65" w:rsidRDefault="004C4E65" w:rsidP="004C4E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Esses são apenas uns poucos exemplos da tolerância do Profeta com outras religiões.  </w:t>
      </w:r>
      <w:proofErr w:type="gramStart"/>
      <w:r>
        <w:rPr>
          <w:color w:val="000000"/>
          <w:sz w:val="26"/>
          <w:szCs w:val="26"/>
        </w:rPr>
        <w:t>O Islã reconhece que existe uma pluralidade de religiões nessa terra e dá aos indivíduos o direito de escolher o caminho que consideram verdadeiro.</w:t>
      </w:r>
      <w:proofErr w:type="gramEnd"/>
      <w:r>
        <w:rPr>
          <w:color w:val="000000"/>
          <w:sz w:val="26"/>
          <w:szCs w:val="26"/>
        </w:rPr>
        <w:t>  A religião não é para ser, e nunca foi, forçada sobre um indivíduo contra sua vontade, e esses exemplos da vida do Profeta, que a misericórdia e bênçãos de Deus estejam sobre ele, são um epítome do versículo do Alcorão que promove tolerância religiosa e estabelece as diretrizes para a interação dos muçulmanos com pessoas de outras crenças.  Deus diz:</w:t>
      </w:r>
    </w:p>
    <w:p w:rsidR="004C4E65" w:rsidRDefault="004C4E65" w:rsidP="004C4E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 Não existe compulsão na religião...”  (Alcorão 2:256)</w:t>
      </w:r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4C4E65" w:rsidRDefault="004C4E65" w:rsidP="004C4E6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4083"/>
    <w:p w:rsidR="004C4E65" w:rsidRDefault="004C4E65" w:rsidP="004C4E6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"http://www.islamreligion.com/pt/articles/208/" \l "_ftnref14083"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i/>
          <w:iCs/>
          <w:color w:val="000000"/>
          <w:sz w:val="22"/>
          <w:szCs w:val="22"/>
          <w:lang w:val="pt-BR"/>
        </w:rPr>
        <w:t>“Muslim and Non-Muslims, Face-to-Face” (Muçulmanos e Não-Muçulmanos, Face a Face,</w:t>
      </w:r>
      <w:r>
        <w:rPr>
          <w:rStyle w:val="apple-converted-space"/>
          <w:i/>
          <w:iCs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</w:rPr>
        <w:t>em tradução livre</w:t>
      </w:r>
      <w:r>
        <w:rPr>
          <w:i/>
          <w:iCs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  <w:lang w:val="pt-BR"/>
        </w:rPr>
        <w:t>, Ahmad Sakr. 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proofErr w:type="gramStart"/>
      <w:r>
        <w:rPr>
          <w:color w:val="000000"/>
          <w:sz w:val="22"/>
          <w:szCs w:val="22"/>
        </w:rPr>
        <w:t>Foundation for Islamic Knowledge, Lombard IL.</w:t>
      </w:r>
      <w:proofErr w:type="gramEnd"/>
    </w:p>
    <w:p w:rsidR="004C4E65" w:rsidRPr="004C4E65" w:rsidRDefault="004C4E65" w:rsidP="004C4E65">
      <w:pPr>
        <w:jc w:val="center"/>
        <w:rPr>
          <w:rFonts w:hint="cs"/>
          <w:rtl/>
          <w:lang w:bidi="ar-EG"/>
        </w:rPr>
      </w:pPr>
    </w:p>
    <w:sectPr w:rsidR="004C4E65" w:rsidRPr="004C4E6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B1850"/>
    <w:rsid w:val="0012644C"/>
    <w:rsid w:val="00454252"/>
    <w:rsid w:val="00466A46"/>
    <w:rsid w:val="0047131C"/>
    <w:rsid w:val="004735DF"/>
    <w:rsid w:val="004C4E65"/>
    <w:rsid w:val="005D66BE"/>
    <w:rsid w:val="005E6360"/>
    <w:rsid w:val="00794FD2"/>
    <w:rsid w:val="007B28DF"/>
    <w:rsid w:val="00AD265A"/>
    <w:rsid w:val="00B97D0D"/>
    <w:rsid w:val="00CA421F"/>
    <w:rsid w:val="00D5159F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2014-12-07T11:35:00Z</cp:lastPrinted>
  <dcterms:created xsi:type="dcterms:W3CDTF">2014-12-07T11:37:00Z</dcterms:created>
  <dcterms:modified xsi:type="dcterms:W3CDTF">2014-12-07T11:37:00Z</dcterms:modified>
</cp:coreProperties>
</file>